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A" w:rsidRPr="00352C6C" w:rsidRDefault="00A835AA" w:rsidP="003B61C3">
      <w:pPr>
        <w:pStyle w:val="PlainText"/>
        <w:jc w:val="center"/>
        <w:rPr>
          <w:rFonts w:ascii="Garamond" w:hAnsi="Garamond"/>
          <w:i/>
          <w:sz w:val="56"/>
          <w:szCs w:val="24"/>
        </w:rPr>
      </w:pPr>
    </w:p>
    <w:p w:rsidR="003B61C3" w:rsidRPr="00352C6C" w:rsidRDefault="003B61C3" w:rsidP="003B61C3">
      <w:pPr>
        <w:pStyle w:val="PlainText"/>
        <w:jc w:val="center"/>
        <w:rPr>
          <w:rFonts w:ascii="Garamond" w:hAnsi="Garamond"/>
          <w:i/>
          <w:sz w:val="96"/>
          <w:szCs w:val="24"/>
        </w:rPr>
      </w:pPr>
      <w:r w:rsidRPr="00352C6C">
        <w:rPr>
          <w:rFonts w:ascii="Garamond" w:hAnsi="Garamond"/>
          <w:i/>
          <w:sz w:val="96"/>
          <w:szCs w:val="24"/>
        </w:rPr>
        <w:t>The Borden Case</w:t>
      </w:r>
    </w:p>
    <w:p w:rsidR="003B61C3" w:rsidRPr="00352C6C" w:rsidRDefault="003B61C3" w:rsidP="003B61C3">
      <w:pPr>
        <w:pStyle w:val="PlainText"/>
        <w:jc w:val="center"/>
        <w:rPr>
          <w:rFonts w:ascii="Garamond" w:hAnsi="Garamond"/>
          <w:sz w:val="32"/>
          <w:szCs w:val="24"/>
        </w:rPr>
      </w:pPr>
    </w:p>
    <w:p w:rsidR="003B61C3" w:rsidRPr="00352C6C" w:rsidRDefault="003B61C3" w:rsidP="003B61C3">
      <w:pPr>
        <w:pStyle w:val="PlainText"/>
        <w:jc w:val="center"/>
        <w:rPr>
          <w:rFonts w:ascii="Garamond" w:hAnsi="Garamond"/>
          <w:sz w:val="48"/>
          <w:szCs w:val="24"/>
        </w:rPr>
      </w:pPr>
      <w:r w:rsidRPr="00352C6C">
        <w:rPr>
          <w:rFonts w:ascii="Garamond" w:hAnsi="Garamond"/>
          <w:sz w:val="48"/>
          <w:szCs w:val="24"/>
        </w:rPr>
        <w:t xml:space="preserve">John Henry </w:t>
      </w:r>
      <w:proofErr w:type="spellStart"/>
      <w:r w:rsidRPr="00352C6C">
        <w:rPr>
          <w:rFonts w:ascii="Garamond" w:hAnsi="Garamond"/>
          <w:sz w:val="48"/>
          <w:szCs w:val="24"/>
        </w:rPr>
        <w:t>Wigmore</w:t>
      </w:r>
      <w:proofErr w:type="spellEnd"/>
    </w:p>
    <w:p w:rsidR="003B61C3" w:rsidRPr="00352C6C" w:rsidRDefault="003B61C3" w:rsidP="003B61C3">
      <w:pPr>
        <w:pStyle w:val="PlainText"/>
        <w:jc w:val="center"/>
        <w:rPr>
          <w:rFonts w:ascii="Garamond" w:hAnsi="Garamond"/>
          <w:sz w:val="32"/>
          <w:szCs w:val="24"/>
        </w:rPr>
      </w:pPr>
    </w:p>
    <w:p w:rsidR="00BD4E67" w:rsidRPr="00352C6C" w:rsidRDefault="00BD4E67" w:rsidP="00352C6C">
      <w:pPr>
        <w:pStyle w:val="PlainText"/>
        <w:jc w:val="center"/>
        <w:rPr>
          <w:rFonts w:ascii="Garamond" w:hAnsi="Garamond"/>
          <w:sz w:val="32"/>
          <w:szCs w:val="24"/>
        </w:rPr>
      </w:pPr>
      <w:r w:rsidRPr="00352C6C">
        <w:rPr>
          <w:rFonts w:ascii="Garamond" w:hAnsi="Garamond"/>
          <w:sz w:val="32"/>
          <w:szCs w:val="24"/>
        </w:rPr>
        <w:t xml:space="preserve">John Henry </w:t>
      </w:r>
      <w:proofErr w:type="spellStart"/>
      <w:r w:rsidRPr="00352C6C">
        <w:rPr>
          <w:rFonts w:ascii="Garamond" w:hAnsi="Garamond"/>
          <w:sz w:val="32"/>
          <w:szCs w:val="24"/>
        </w:rPr>
        <w:t>Wigmore</w:t>
      </w:r>
      <w:proofErr w:type="spellEnd"/>
      <w:r w:rsidRPr="00352C6C">
        <w:rPr>
          <w:rFonts w:ascii="Garamond" w:hAnsi="Garamond"/>
          <w:sz w:val="32"/>
          <w:szCs w:val="24"/>
        </w:rPr>
        <w:t xml:space="preserve"> (1863–1943), professor of law at Northwestern University, was a legal scholar who specialized in the law of evidence. In the following essay, </w:t>
      </w:r>
      <w:proofErr w:type="spellStart"/>
      <w:r w:rsidRPr="00352C6C">
        <w:rPr>
          <w:rFonts w:ascii="Garamond" w:hAnsi="Garamond"/>
          <w:sz w:val="32"/>
          <w:szCs w:val="24"/>
        </w:rPr>
        <w:t>Wigmore</w:t>
      </w:r>
      <w:proofErr w:type="spellEnd"/>
      <w:r w:rsidRPr="00352C6C">
        <w:rPr>
          <w:rFonts w:ascii="Garamond" w:hAnsi="Garamond"/>
          <w:sz w:val="32"/>
          <w:szCs w:val="24"/>
        </w:rPr>
        <w:t xml:space="preserve"> presents the facts of the famous Lizzie Borden murder case.</w:t>
      </w:r>
    </w:p>
    <w:p w:rsidR="003B61C3" w:rsidRPr="00352C6C" w:rsidRDefault="003B61C3" w:rsidP="003B61C3">
      <w:pPr>
        <w:pStyle w:val="PlainText"/>
        <w:ind w:firstLine="360"/>
        <w:jc w:val="center"/>
        <w:rPr>
          <w:rFonts w:ascii="Garamond" w:hAnsi="Garamond"/>
          <w:sz w:val="32"/>
          <w:szCs w:val="24"/>
        </w:rPr>
      </w:pP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On the 4th of August, 1892, was committed in the city of Fall River, Massachusetts, the double murder for which Lizzie Andrew Borden was tried in the month of June, 1893, at New Bedford. Not since the trial of Professor Webster for the murder of Dr. Parkman has such widespread popular interest been aroused; but on this occasion the notoriety far exceeded that of the Webster case, and the report of the proceedings was daily telegraphed to all parts of the country. If we look for the circumstances which made the case such a special theme of discussion, they seem to be three: first, the particularly brutal mode in which the killing was done; next, the sex of the accused person and her standing in the community; but principally the fact that the evidence was purely circumstantial and was such as to afford singularly conflicting inferences.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In August, 1892, Andrew Jackson Borden was a retired merchant of Fall River, and lived in a house on the east side of Second Street in that city, an important thoroughfare running north and south and faced partly by dwelling houses, partly by business structures. South of the Borden house and closely adjoining was Dr. Kelly’s; north of it Mrs. Churchill’s; in the rear, but diagonally, Dr. </w:t>
      </w:r>
      <w:proofErr w:type="spellStart"/>
      <w:r w:rsidRPr="00352C6C">
        <w:rPr>
          <w:rFonts w:ascii="Garamond" w:hAnsi="Garamond"/>
          <w:sz w:val="32"/>
          <w:szCs w:val="24"/>
        </w:rPr>
        <w:t>Chagnon’s</w:t>
      </w:r>
      <w:proofErr w:type="spellEnd"/>
      <w:r w:rsidRPr="00352C6C">
        <w:rPr>
          <w:rFonts w:ascii="Garamond" w:hAnsi="Garamond"/>
          <w:sz w:val="32"/>
          <w:szCs w:val="24"/>
        </w:rPr>
        <w:t xml:space="preserve">. Mr. Borden was seventy years of age. He was reputed to be worth $300,000 or more, but his family lived in the thrifty and unpretentious style characteristic of New England. The members of the household </w:t>
      </w:r>
      <w:r w:rsidRPr="00352C6C">
        <w:rPr>
          <w:rFonts w:ascii="Garamond" w:hAnsi="Garamond"/>
          <w:sz w:val="32"/>
          <w:szCs w:val="24"/>
        </w:rPr>
        <w:lastRenderedPageBreak/>
        <w:t xml:space="preserve">were Mr. Borden and four others: 1. Mrs. Borden, a short but heavy person, sixty-four years of age, formerly Abby </w:t>
      </w:r>
      <w:proofErr w:type="spellStart"/>
      <w:r w:rsidRPr="00352C6C">
        <w:rPr>
          <w:rFonts w:ascii="Garamond" w:hAnsi="Garamond"/>
          <w:sz w:val="32"/>
          <w:szCs w:val="24"/>
        </w:rPr>
        <w:t>Durfee</w:t>
      </w:r>
      <w:proofErr w:type="spellEnd"/>
      <w:r w:rsidRPr="00352C6C">
        <w:rPr>
          <w:rFonts w:ascii="Garamond" w:hAnsi="Garamond"/>
          <w:sz w:val="32"/>
          <w:szCs w:val="24"/>
        </w:rPr>
        <w:t xml:space="preserve"> Gray, now for twenty-five years the second wife of Mr. Borden: 2. Emma Borden, forty-one years of age, a daughter of Mr. Borden’s first marriage, and unmarried; 3. Lizzie Andrew Borden, thirty-two years of age, the other child of the first marriage, also unmarried; 4. Bridget Sullivan, a servant who had been with the family nearly three years. Mr. Borden’s first wife had died some twenty-eight years before; by the second marriage there was no issue living.</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In the latter part of July Emma Borden went to visit friends in Fairhaven, an adjacent town. On Wednesday, August 3, however, the number in the household was restored by a brief visit from John V. Morse, a brother of the first wife. He came just after noon, left for a few hours, returned in the evening, sleeping in the house, and went out the next morning. On Tuesday night, August 2, Mr. and Mrs. Borden were taken suddenly ill with a violent vomiting illness; Lizzie Borden was also slightly affected; Bridget Sullivan was not. On Wednesday morning Mrs. Borden consulted a physician as to this illness. On Thursday morning, August 4, the only persons known to be in the house were Mr. and Mrs. Borden, Miss Borden, Mr. Morse, and the servant Bridget Sullivan. Before describing the occurrences of the morning it is necessary to explain the arrangement of the house.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appended plan shows the situation of the rooms on the ground and upper floors.</w:t>
      </w:r>
      <w:r w:rsidRPr="00352C6C">
        <w:rPr>
          <w:rStyle w:val="EndnoteReference"/>
          <w:rFonts w:ascii="Garamond" w:hAnsi="Garamond"/>
          <w:sz w:val="32"/>
          <w:szCs w:val="24"/>
        </w:rPr>
        <w:endnoteReference w:customMarkFollows="1" w:id="1"/>
        <w:t>1</w:t>
      </w:r>
      <w:r w:rsidRPr="00352C6C">
        <w:rPr>
          <w:rFonts w:ascii="Garamond" w:hAnsi="Garamond"/>
          <w:sz w:val="32"/>
          <w:szCs w:val="24"/>
        </w:rPr>
        <w:t xml:space="preserve"> As to the ground floor, it is enough to call attention to the fact that there were three doors only: the front door, the kitchen door, and the cellar door; that access from the back door to the front hall might be obtained through the kitchen only, and thence through the sitting-room, or through the dining-room and one or both other rooms, and that in the front hall were two small closets. On the upper floor a </w:t>
      </w:r>
      <w:proofErr w:type="spellStart"/>
      <w:r w:rsidRPr="00352C6C">
        <w:rPr>
          <w:rFonts w:ascii="Garamond" w:hAnsi="Garamond"/>
          <w:sz w:val="32"/>
          <w:szCs w:val="24"/>
        </w:rPr>
        <w:t>doorless</w:t>
      </w:r>
      <w:proofErr w:type="spellEnd"/>
      <w:r w:rsidRPr="00352C6C">
        <w:rPr>
          <w:rFonts w:ascii="Garamond" w:hAnsi="Garamond"/>
          <w:sz w:val="32"/>
          <w:szCs w:val="24"/>
        </w:rPr>
        <w:t xml:space="preserve"> partition divided into two small rooms the space over the dining-room. Mr. and Mrs. Borden occupied the room over the kitchen; Lizzie Borden the room over the sitting-room and the front half of the partitioned rooms; and the room over the parlor was used as a guest-room and sewing-room. The door between the rooms of Lizzie Borden and Mr. and Mrs. Borden was permanently locked on both sides (on one by a hook, on the other by a bolt); so that there was no access from the rear part of the upper floor to the front part. Furthermore, the door between the guest-room and Lizzie Borden’s room was permanently locked on both sides, and in the latter room a desk stood against the door. In the upper hall over the front door was a clothes closet. As to the condition of the doors below, on August 3 and 4, (1) the front door was locked on Wednesday night by Lizzie Borden, the last one to enter it; the fastening being a spring latch, a bolt, and an ordinary lock; (2) the cellar door (opening into the yard) had been closed on Tuesday and was found locked on Thursday at noon; (3) the kitchen door was locked by Bridget Sullivan on Wednesday night, when she came in (and was found locked by her), but on Thursday morning there was passing in and out, and its condition was not beyond doubt, as we shall see; (4) the door from the bedroom of the Borden couple leading down-stairs was kept locked in their absence from the room. As to the disposition of the inmates of the house on Wednesday, Mr. Morse slept in the guest-chamber, Mr. and Mrs. Borden and Miss Borden in their respective rooms, Bridget Sullivan in the attic at the rear.</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5</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On Thursday morning shortly after 6, Bridget Sullivan came down the back stairs, got fuel from the cellar, built the fire, and took in the milk. The kitchen door was thus unlocked, the wooden door being left open, the wire screen door fastened, as usual. Just before 7, Mrs. Borden came down. Then Mr. Borden came down, went out and emptied his slop-pail, and unlocked the barn door. Mr. Morse then came down, and shortly after 7 the three ate breakfast. Mr. Morse left the house at a quarter before 8, Mr. Borden letting him out and locking the door behind him. Lizzie Borden shortly afterwards came down and began her breakfast in the kitchen. At this point Mr. Borden went upstairs to his room, and Bridget went out in the yard, having an attack of vomiting. After a few minutes’ absence she returned and found Lizzie Borden absent, Mrs. Borden dusting the dining-room, and Mr. Borden apparently gone down town. Mrs. Borden then directed Bridget to wash the windows on both sides, and left the kitchen, remarking that she had made the bed in the guestroom and was going up to put two pillow-cases on the pillows there. This was the last time that she was seen alive by any witness. Mr. Borden had left the house somewhere between 9 and 9:30.</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6</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Bridget then set to work at the windows, after getting her implements from the cellar, and here the kitchen door seems to have been unlocked and left so. In cleaning the windows of the sitting-room and the dining-room Bridget found nobody present, both Lizzie Borden and Mrs. Borden being elsewhere. As Bridget went out, Lizzie came to the back door, apparently to hook it; but Bridget seems to have dissuaded her. The washing began with the outside of the windows; Bridget proceeded from the two sitting-room windows (where the screen door, now unlocked, was out of sight) to the parlor-front windows, the parlor side window, and the dining-room windows; and during this time neither Lizzie Borden nor Mrs. Borden appeared on the lower floor. Then Bridget entered by the screen door, hooking it behind her, and proceeded to the washing of the inside of the windows, following the same order as before. While washing the first, </w:t>
      </w:r>
      <w:proofErr w:type="spellStart"/>
      <w:r w:rsidRPr="00352C6C">
        <w:rPr>
          <w:rFonts w:ascii="Garamond" w:hAnsi="Garamond"/>
          <w:sz w:val="32"/>
          <w:szCs w:val="24"/>
        </w:rPr>
        <w:t>some one</w:t>
      </w:r>
      <w:proofErr w:type="spellEnd"/>
      <w:r w:rsidRPr="00352C6C">
        <w:rPr>
          <w:rFonts w:ascii="Garamond" w:hAnsi="Garamond"/>
          <w:sz w:val="32"/>
          <w:szCs w:val="24"/>
        </w:rPr>
        <w:t xml:space="preserve"> was heard at the front door. Mr. Borden had come home, and failing to enter the screen door, had come round to the front and was trying the door with his key, but the triple fastening prevented his entrance, and Bridget came and opened it before he was obliged to ring the bell. At this moment a laugh or other exclamation was heard from the daughter on the floor above. She came down shortly to the dining-room where Mr. Borden was, asked if there was any mail, and then volunteered the information, “Mrs. Borden has gone out; she had a note from somebody.” It was now 10:45, though by a bare possibility 7 or 8 minutes earlier. Mr. Borden took his key, went up the back stairs (the only way to his room), and came down again just as Bridget had finished the second sitting-room window and was passing to the dining-room. Mr. Borden then sat down in the sitting-room; Bridget began on the dining-room windows; and Lizzie Borden put an ironing-board on the dining-room table and began to iron handkerchiefs. This conversation ensued:—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7</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“She said, ‘Maggie, are you going out this afternoon?’ I said, ‘I don’t know; I might and I might not; I don’t feel very well.’ She says, ‘If you go out, be sure and lock the door, for Mrs. Borden has gone on a sick call, and I might go out too.’ Says I, ‘Miss Lizzie, who is sick?’ ‘I don’t know; she had a note this morning; it must be in town.’”</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8</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Then Bridget, finishing the windows, washed out the cloths in the kitchen; and, while she was there, Lizzie Borden stopped her ironing, came into the kitchen and said:—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9</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“There is a cheap sale of dress goods at Sargent’s to-day at 8 cents a yard.”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10</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And Bridget said, “I am going to have one.”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11</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At this point Bridget went upstairs and lay down. In perhaps 3 or 4 minutes the City Hall clock struck, and Bridget’s watch showed it to be 11 o’clock. Lizzie Borden never finished her ironing. Miss Russell testified (without contradiction) that she afterwards carried the handkerchiefs upstairs, and that there were 4 or 5 finished with 2 or 3 only sprinkled and ready to iron.</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12</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next incident was a cry from below, coming 10 or 15 minutes later:—</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13</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“Miss Lizzie hollered: ‘Maggie, come down.’ I said, ‘What is the matter?’ She says, ‘Come down quick, father’s dead. Somebody’s come in and killed him.’”</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14</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Bridget hurried down-stairs and found the daughter at the back entrance, leaning against the open wooden door, with her back to the screen door. The daughter sent her for Dr. Bowen, and next, on returning, for her friend Miss Russell, Dr. Bowen being absent. While Miss Russell was being sought, Dr. Bowen and the neighbor, Mrs. Churchill, came, the latter first. Mrs. Churchill gave the alarm at a stable </w:t>
      </w:r>
      <w:proofErr w:type="spellStart"/>
      <w:r w:rsidRPr="00352C6C">
        <w:rPr>
          <w:rFonts w:ascii="Garamond" w:hAnsi="Garamond"/>
          <w:sz w:val="32"/>
          <w:szCs w:val="24"/>
        </w:rPr>
        <w:t>near by</w:t>
      </w:r>
      <w:proofErr w:type="spellEnd"/>
      <w:r w:rsidRPr="00352C6C">
        <w:rPr>
          <w:rFonts w:ascii="Garamond" w:hAnsi="Garamond"/>
          <w:sz w:val="32"/>
          <w:szCs w:val="24"/>
        </w:rPr>
        <w:t>, and the telephone message reached police headquarters at 11:15. When Bridget came back and mutual suggestion began, as Bridget relates:—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15</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“I says, ‘Lizzie, if I knew where Mrs. Whitehead was I would go and see if Mrs. Borden was there and tell her that Mr. Borden was very sick.’ She says: ‘Maggie, I am almost positive I heard her coming in. Won’t you go upstairs to see?’ I said: ‘I am not going upstairs alone.”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16</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Mrs. Churchill offered to go with her. They went upstairs, and as Mrs. Churchill passed up, the door of the guest-room being open, she saw the clothing of a woman on the floor, the line of sight running under the bed. She ran on into the room and, standing at the foot of the bed, saw the dead body of Mrs. Borden stretched on the floor.</w:t>
      </w:r>
      <w:r w:rsidRPr="00352C6C">
        <w:rPr>
          <w:rStyle w:val="EndnoteReference"/>
          <w:rFonts w:ascii="Garamond" w:hAnsi="Garamond"/>
          <w:sz w:val="32"/>
          <w:szCs w:val="24"/>
        </w:rPr>
        <w:endnoteReference w:customMarkFollows="1" w:id="2"/>
        <w:t>2</w:t>
      </w:r>
      <w:r w:rsidRPr="00352C6C">
        <w:rPr>
          <w:rFonts w:ascii="Garamond" w:hAnsi="Garamond"/>
          <w:sz w:val="32"/>
          <w:szCs w:val="24"/>
        </w:rPr>
        <w:t xml:space="preserve"> It may here be mentioned that the medical testimony showed, from the temperature of the body, the color and consistency of the blood, and the condition of the stomach’s contents, that Mrs. Borden’s death had occurred between one and two hours earlier, probably one and one-half hours earlier, than Mr. Borden’s,—or not much later or earlier than 9:30.</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17</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During this time the other neighbors were with Lizzie Borden, who had thrown herself on the lounge in the dining-room, not having been to see her father’s or her stepmother’s body at any time since the call for Bridget. At a neighbor’s suggestion she went upstairs to her room, and here without suggestion she afterwards (within half an hour of the killing) changed her dress and put on a pink wrapper.</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18</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Something must now be said in brief description of the manner in which the two victims had met their death. Mr. Borden’s head bore ten wounds from a cutting instrument wielded with a swing; the body bore no other injury. The shortest cut was one-half inch long, the longest was four and one-half inches. Four penetrated the brain, the skull at the points of penetration being about one-sixteenth inch thick. The body was found, lying on the right side on the sofa in the sitting-room, the head nearest the front door, and the wounds indicated that the assailant stood at or near the head of the couch and struck down vertically from that direction. Spots of blood were upon the wall over the sofa (30 to 100), on a picture on the same wall (40 to 50), on the kitchen door near his feet, and on the parlor door. On the carpet in front of the sofa, and on a small table </w:t>
      </w:r>
      <w:proofErr w:type="spellStart"/>
      <w:r w:rsidRPr="00352C6C">
        <w:rPr>
          <w:rFonts w:ascii="Garamond" w:hAnsi="Garamond"/>
          <w:sz w:val="32"/>
          <w:szCs w:val="24"/>
        </w:rPr>
        <w:t>near by</w:t>
      </w:r>
      <w:proofErr w:type="spellEnd"/>
      <w:r w:rsidRPr="00352C6C">
        <w:rPr>
          <w:rFonts w:ascii="Garamond" w:hAnsi="Garamond"/>
          <w:sz w:val="32"/>
          <w:szCs w:val="24"/>
        </w:rPr>
        <w:t>, there was no blood. On Mrs. Borden’s head and neck (and not elsewhere) were twenty-two injuries, three ordinary head contusions from falling and nineteen wounds from blows by a cutting instrument,—of these, one was on the back of the neck and eighteen on the head. The shortest was one-half inch, the longest three and one-half inches in length. Four were on the left half of the head, one being a flap wound made in the flesh by a badly-aimed cut from in front. Some thirteen of these made a hole in the top of the skull, crushing into the brain, this part of Mrs. Borden’s skull being about one-eighth inch in thickness and the thinnest part of her skull. There were blood spots on the north wall, on the dressing-case (over 75), and on the east wall. The weapon or weapons employed were apparently hatchets or axes. Upon the premises that day were found two hatchets and two axes. Of these only one offered any opportunity for connection with the killings, for the others had handles so marked with ragged portions that they could not have been cleansed from the blood which they must have received. Of the fourth some mention will be made later.</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19</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On Tuesday, Wednesday and Thursday, August 9, 10 and 11, the inquest was held by Judge </w:t>
      </w:r>
      <w:proofErr w:type="spellStart"/>
      <w:r w:rsidRPr="00352C6C">
        <w:rPr>
          <w:rFonts w:ascii="Garamond" w:hAnsi="Garamond"/>
          <w:sz w:val="32"/>
          <w:szCs w:val="24"/>
        </w:rPr>
        <w:t>Blaisdell</w:t>
      </w:r>
      <w:proofErr w:type="spellEnd"/>
      <w:r w:rsidRPr="00352C6C">
        <w:rPr>
          <w:rFonts w:ascii="Garamond" w:hAnsi="Garamond"/>
          <w:sz w:val="32"/>
          <w:szCs w:val="24"/>
        </w:rPr>
        <w:t xml:space="preserve">, and on Thursday evening Lizzie Borden was arrested on charge of committing the murders. The preliminary trial began before Judge </w:t>
      </w:r>
      <w:proofErr w:type="spellStart"/>
      <w:r w:rsidRPr="00352C6C">
        <w:rPr>
          <w:rFonts w:ascii="Garamond" w:hAnsi="Garamond"/>
          <w:sz w:val="32"/>
          <w:szCs w:val="24"/>
        </w:rPr>
        <w:t>Blaisdell</w:t>
      </w:r>
      <w:proofErr w:type="spellEnd"/>
      <w:r w:rsidRPr="00352C6C">
        <w:rPr>
          <w:rFonts w:ascii="Garamond" w:hAnsi="Garamond"/>
          <w:sz w:val="32"/>
          <w:szCs w:val="24"/>
        </w:rPr>
        <w:t>, August 25, continuing until September 1, when she was found probably guilty and ordered to be held for the grand jury. The indictment was duly found, and on Monday, June 5, 1893, the trial began in the Superior Court of Bristol County, at the New Bedford Court House. In accord with the law of the State, the Court for such a trial was composed of three judges of the Superior Court of the Commonwealth. Those who officiated on this occasion were Mason, C. J., Blodgett, J., and Dewey, J.</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20</w:t>
      </w:r>
    </w:p>
    <w:p w:rsidR="00A835AA" w:rsidRPr="00352C6C" w:rsidRDefault="00BD4E67" w:rsidP="00A835AA">
      <w:pPr>
        <w:pStyle w:val="PlainText"/>
        <w:ind w:firstLine="360"/>
        <w:rPr>
          <w:rFonts w:ascii="Garamond" w:hAnsi="Garamond"/>
          <w:sz w:val="32"/>
          <w:szCs w:val="24"/>
        </w:rPr>
      </w:pPr>
      <w:r w:rsidRPr="00352C6C">
        <w:rPr>
          <w:rFonts w:ascii="Garamond" w:hAnsi="Garamond"/>
          <w:kern w:val="23"/>
          <w:sz w:val="32"/>
          <w:szCs w:val="24"/>
        </w:rPr>
        <w:t>The case for the prosecution was conducted by Hosea M. Knowlton, District Attorney for the County,</w:t>
      </w:r>
      <w:r w:rsidRPr="00352C6C">
        <w:rPr>
          <w:rStyle w:val="EndnoteReference"/>
          <w:rFonts w:ascii="Garamond" w:hAnsi="Garamond"/>
          <w:sz w:val="32"/>
          <w:szCs w:val="24"/>
        </w:rPr>
        <w:endnoteReference w:customMarkFollows="1" w:id="3"/>
        <w:t>3</w:t>
      </w:r>
      <w:r w:rsidRPr="00352C6C">
        <w:rPr>
          <w:rFonts w:ascii="Garamond" w:hAnsi="Garamond"/>
          <w:kern w:val="23"/>
          <w:sz w:val="32"/>
          <w:szCs w:val="24"/>
          <w:vertAlign w:val="superscript"/>
        </w:rPr>
        <w:t xml:space="preserve"> </w:t>
      </w:r>
      <w:r w:rsidR="00A835AA" w:rsidRPr="00352C6C">
        <w:rPr>
          <w:rFonts w:ascii="Garamond" w:hAnsi="Garamond"/>
          <w:sz w:val="32"/>
          <w:szCs w:val="24"/>
        </w:rPr>
        <w:t>and Wm. H. Moody, District Attorney of Essex County.</w:t>
      </w:r>
      <w:r w:rsidR="00A835AA" w:rsidRPr="00352C6C">
        <w:rPr>
          <w:rFonts w:ascii="Garamond" w:hAnsi="Garamond"/>
          <w:sz w:val="32"/>
          <w:szCs w:val="24"/>
          <w:vertAlign w:val="superscript"/>
        </w:rPr>
        <w:t>4</w:t>
      </w:r>
      <w:r w:rsidR="00A835AA" w:rsidRPr="00352C6C">
        <w:rPr>
          <w:rFonts w:ascii="Garamond" w:hAnsi="Garamond"/>
          <w:sz w:val="32"/>
          <w:szCs w:val="24"/>
        </w:rPr>
        <w:t xml:space="preserve"> The case for the defence was conducted by George D. Robinson,</w:t>
      </w:r>
      <w:r w:rsidR="00A835AA" w:rsidRPr="00352C6C">
        <w:rPr>
          <w:rFonts w:ascii="Garamond" w:hAnsi="Garamond"/>
          <w:sz w:val="32"/>
          <w:szCs w:val="24"/>
          <w:vertAlign w:val="superscript"/>
        </w:rPr>
        <w:t>5</w:t>
      </w:r>
      <w:r w:rsidR="00A835AA" w:rsidRPr="00352C6C">
        <w:rPr>
          <w:rFonts w:ascii="Garamond" w:hAnsi="Garamond"/>
          <w:sz w:val="32"/>
          <w:szCs w:val="24"/>
        </w:rPr>
        <w:t xml:space="preserve"> Melvin O. Adams,</w:t>
      </w:r>
      <w:r w:rsidR="00A835AA" w:rsidRPr="00352C6C">
        <w:rPr>
          <w:rFonts w:ascii="Garamond" w:hAnsi="Garamond"/>
          <w:sz w:val="32"/>
          <w:szCs w:val="24"/>
          <w:vertAlign w:val="superscript"/>
        </w:rPr>
        <w:t>6</w:t>
      </w:r>
      <w:r w:rsidR="00A835AA" w:rsidRPr="00352C6C">
        <w:rPr>
          <w:rFonts w:ascii="Garamond" w:hAnsi="Garamond"/>
          <w:sz w:val="32"/>
          <w:szCs w:val="24"/>
        </w:rPr>
        <w:t xml:space="preserve"> and Andrew J. Jennings.</w:t>
      </w:r>
      <w:r w:rsidR="00A835AA" w:rsidRPr="00352C6C">
        <w:rPr>
          <w:rFonts w:ascii="Garamond" w:hAnsi="Garamond"/>
          <w:sz w:val="32"/>
          <w:szCs w:val="24"/>
          <w:vertAlign w:val="superscript"/>
        </w:rPr>
        <w:t>7</w:t>
      </w:r>
    </w:p>
    <w:p w:rsidR="00BD4E67" w:rsidRPr="00352C6C" w:rsidRDefault="00A835AA" w:rsidP="00A835AA">
      <w:pPr>
        <w:pStyle w:val="PlainText"/>
        <w:ind w:firstLine="360"/>
        <w:rPr>
          <w:rFonts w:ascii="Garamond" w:hAnsi="Garamond"/>
          <w:kern w:val="23"/>
          <w:sz w:val="32"/>
          <w:szCs w:val="24"/>
          <w:vertAlign w:val="superscript"/>
        </w:rPr>
      </w:pPr>
      <w:r w:rsidRPr="00352C6C">
        <w:rPr>
          <w:rFonts w:ascii="Garamond" w:hAnsi="Garamond"/>
          <w:sz w:val="32"/>
          <w:szCs w:val="24"/>
        </w:rPr>
        <w:t>2</w:t>
      </w:r>
      <w:r w:rsidR="00BD4E67" w:rsidRPr="00352C6C">
        <w:rPr>
          <w:rFonts w:ascii="Garamond" w:hAnsi="Garamond"/>
          <w:sz w:val="32"/>
          <w:szCs w:val="24"/>
        </w:rPr>
        <w:t>1</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We now come to consider the question, what points did the prosecution attempt to make against Lizzie Borden in charging the crime upon her? It endeavored to show, </w:t>
      </w:r>
      <w:r w:rsidRPr="00352C6C">
        <w:rPr>
          <w:rFonts w:ascii="Garamond" w:hAnsi="Garamond"/>
          <w:iCs/>
          <w:sz w:val="32"/>
          <w:szCs w:val="24"/>
        </w:rPr>
        <w:t>first,</w:t>
      </w:r>
      <w:r w:rsidRPr="00352C6C">
        <w:rPr>
          <w:rFonts w:ascii="Garamond" w:hAnsi="Garamond"/>
          <w:sz w:val="32"/>
          <w:szCs w:val="24"/>
        </w:rPr>
        <w:t xml:space="preserve"> prior indications, </w:t>
      </w:r>
      <w:r w:rsidRPr="00352C6C">
        <w:rPr>
          <w:rFonts w:ascii="Garamond" w:hAnsi="Garamond"/>
          <w:iCs/>
          <w:sz w:val="32"/>
          <w:szCs w:val="24"/>
        </w:rPr>
        <w:t>(a)</w:t>
      </w:r>
      <w:r w:rsidRPr="00352C6C">
        <w:rPr>
          <w:rFonts w:ascii="Garamond" w:hAnsi="Garamond"/>
          <w:sz w:val="32"/>
          <w:szCs w:val="24"/>
        </w:rPr>
        <w:t xml:space="preserve"> Motive, </w:t>
      </w:r>
      <w:r w:rsidRPr="00352C6C">
        <w:rPr>
          <w:rFonts w:ascii="Garamond" w:hAnsi="Garamond"/>
          <w:iCs/>
          <w:sz w:val="32"/>
          <w:szCs w:val="24"/>
        </w:rPr>
        <w:t>(b)</w:t>
      </w:r>
      <w:r w:rsidRPr="00352C6C">
        <w:rPr>
          <w:rFonts w:ascii="Garamond" w:hAnsi="Garamond"/>
          <w:sz w:val="32"/>
          <w:szCs w:val="24"/>
        </w:rPr>
        <w:t xml:space="preserve"> Design; </w:t>
      </w:r>
      <w:r w:rsidRPr="00352C6C">
        <w:rPr>
          <w:rFonts w:ascii="Garamond" w:hAnsi="Garamond"/>
          <w:iCs/>
          <w:sz w:val="32"/>
          <w:szCs w:val="24"/>
        </w:rPr>
        <w:t>second,</w:t>
      </w:r>
      <w:r w:rsidRPr="00352C6C">
        <w:rPr>
          <w:rFonts w:ascii="Garamond" w:hAnsi="Garamond"/>
          <w:sz w:val="32"/>
          <w:szCs w:val="24"/>
        </w:rPr>
        <w:t xml:space="preserve"> concomitant indications, </w:t>
      </w:r>
      <w:r w:rsidRPr="00352C6C">
        <w:rPr>
          <w:rFonts w:ascii="Garamond" w:hAnsi="Garamond"/>
          <w:iCs/>
          <w:sz w:val="32"/>
          <w:szCs w:val="24"/>
        </w:rPr>
        <w:t>(a)</w:t>
      </w:r>
      <w:r w:rsidRPr="00352C6C">
        <w:rPr>
          <w:rFonts w:ascii="Garamond" w:hAnsi="Garamond"/>
          <w:sz w:val="32"/>
          <w:szCs w:val="24"/>
        </w:rPr>
        <w:t xml:space="preserve"> Opportunity, </w:t>
      </w:r>
      <w:r w:rsidRPr="00352C6C">
        <w:rPr>
          <w:rFonts w:ascii="Garamond" w:hAnsi="Garamond"/>
          <w:iCs/>
          <w:sz w:val="32"/>
          <w:szCs w:val="24"/>
        </w:rPr>
        <w:t>(b)</w:t>
      </w:r>
      <w:r w:rsidRPr="00352C6C">
        <w:rPr>
          <w:rFonts w:ascii="Garamond" w:hAnsi="Garamond"/>
          <w:sz w:val="32"/>
          <w:szCs w:val="24"/>
        </w:rPr>
        <w:t xml:space="preserve"> Means and Capacity; </w:t>
      </w:r>
      <w:r w:rsidRPr="00352C6C">
        <w:rPr>
          <w:rFonts w:ascii="Garamond" w:hAnsi="Garamond"/>
          <w:iCs/>
          <w:sz w:val="32"/>
          <w:szCs w:val="24"/>
        </w:rPr>
        <w:t>third,</w:t>
      </w:r>
      <w:r w:rsidRPr="00352C6C">
        <w:rPr>
          <w:rFonts w:ascii="Garamond" w:hAnsi="Garamond"/>
          <w:sz w:val="32"/>
          <w:szCs w:val="24"/>
        </w:rPr>
        <w:t xml:space="preserve"> posterior indications, </w:t>
      </w:r>
      <w:r w:rsidRPr="00352C6C">
        <w:rPr>
          <w:rFonts w:ascii="Garamond" w:hAnsi="Garamond"/>
          <w:iCs/>
          <w:sz w:val="32"/>
          <w:szCs w:val="24"/>
        </w:rPr>
        <w:t>(a)</w:t>
      </w:r>
      <w:r w:rsidRPr="00352C6C">
        <w:rPr>
          <w:rFonts w:ascii="Garamond" w:hAnsi="Garamond"/>
          <w:sz w:val="32"/>
          <w:szCs w:val="24"/>
        </w:rPr>
        <w:t xml:space="preserve"> Consciousness of Guilt. Let us take these in order very briefly.</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22</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1. </w:t>
      </w:r>
      <w:r w:rsidRPr="00352C6C">
        <w:rPr>
          <w:rFonts w:ascii="Garamond" w:hAnsi="Garamond"/>
          <w:iCs/>
          <w:sz w:val="32"/>
          <w:szCs w:val="24"/>
        </w:rPr>
        <w:t>(a) Motive.</w:t>
      </w:r>
      <w:r w:rsidRPr="00352C6C">
        <w:rPr>
          <w:rFonts w:ascii="Garamond" w:hAnsi="Garamond"/>
          <w:sz w:val="32"/>
          <w:szCs w:val="24"/>
        </w:rPr>
        <w:t xml:space="preserve"> The family history was brought in to show that the accused was not on the best of terms with her stepmother. This was evidenced by the testimony of: (1) A dressmaker, who reported that in a conversation held some time previously, when her “mother” was mentioned, she answered: “Don’t say ‘mother’ to me. She is a mean, good-for-nothing old thing. We do not have much to do with her; I stay in my room most of the time.” “Why, you come down to your meals?” “Yes, sometimes; but we don’t eat with them if we can help it.” (2) The servant, who reported that, though she never saw any quarreling, “most of the time they did not eat with the father and mother.” (3) The uncle, who did not see Lizzie Borden during the visit from Wednesday noon till Thursday noon: (4) the sister, Emma, who explained the ill-feeling partly on the ground of a small transfer of property by the father to his wife a few years before, and reported that since that time the accused had ceased saying “mother” and addressed her as “Mrs. Borden,” and that a gift of other property to the daughters had only partially allayed the ill-feeling; (5) the police officer, who on asking Lizzie Borden on Thursday noon, “When did you last see your mother?” was answered, “She is not my mother. My mother is dead.” The general effect of the motive testimony purported to be that the daughters were afraid of the property going to the second wife, to their exclusion, and that this fomented an ill-feeling existing on more or less general grounds of incompatibility.</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23</w:t>
      </w:r>
    </w:p>
    <w:p w:rsidR="00BD4E67" w:rsidRPr="00352C6C" w:rsidRDefault="00BD4E67" w:rsidP="00BD4E67">
      <w:pPr>
        <w:pStyle w:val="PlainText"/>
        <w:ind w:firstLine="360"/>
        <w:rPr>
          <w:rFonts w:ascii="Garamond" w:hAnsi="Garamond"/>
          <w:sz w:val="32"/>
          <w:szCs w:val="24"/>
        </w:rPr>
      </w:pPr>
      <w:r w:rsidRPr="00352C6C">
        <w:rPr>
          <w:rFonts w:ascii="Garamond" w:hAnsi="Garamond"/>
          <w:iCs/>
          <w:sz w:val="32"/>
          <w:szCs w:val="24"/>
        </w:rPr>
        <w:t>(b) Design.</w:t>
      </w:r>
      <w:r w:rsidRPr="00352C6C">
        <w:rPr>
          <w:rFonts w:ascii="Garamond" w:hAnsi="Garamond"/>
          <w:sz w:val="32"/>
          <w:szCs w:val="24"/>
        </w:rPr>
        <w:t xml:space="preserve"> No evidence was offered of a specific design to kill with the weapons used. But it was attempted to show a general intention to get rid of the victims: (1) Testimony of a druggist and of by-standers as to an attempted purchase of prussic acid in the forenoon of Wednesday, the day before the killing:—</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24</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“This party came in there and inquired if I kept prussic acid. I was standing out there; I walked in ahead. She asked me if we kept prussic acid. I informed her that we did. She asked me if she could buy ten cents’ worth of me. I informed her that we did not sell prussic acid unless by a physician’s prescription. She then said that she had bought this several times, I think; I think she said several times before. I says: ‘Well, my good lady, it is something we don’t sell unless by a prescription from the doctor, as it is a very dangerous thing to handle.’ I understood her to say she wanted it to put on the edge of a seal-skin cape, if I remember rightly. She did not buy anything, no drug at all, no medicine? No, sir.” This was excluded, for reasons to be mentioned later.</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25</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 Testimony of a conversation on the same Wednesday, during an evening call on Miss Russell, an intimate friend:—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26</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prisoner said: “I have made up my mind, Alice, to take your advice and go to Marion, and I have written there to them that I shall go, but I cannot help feeling depressed; I cannot help feeling that something is going to happen to me; I cannot shake it off. Last night,” she said, “we were all sick; Mr. and Mrs. Borden were quite sick and vomited; I did not vomit, and we are afraid that we have been poisoned; the girl did not eat the baker’s bread and we did, and we think it may have been the baker’s bread.”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27</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“No,” said Miss Russell, “if it had been that, some other people would have been sick in the same way.”</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28</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“Well, it might have been the milk; our milk is left outside upon the steps.”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29</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“What time is your milk left?”</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30</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“At 4 o’clock in the morning.”</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31</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“It is light then, and no one would dare to come in and touch it at that time.”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32</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“Well,” said the prisoner, “probably that is so. But father has been having so much trouble with those with whom he has dealings that I am afraid some of them will do something to him; I expect nothing but that the building will be burned down over our heads. The barn has been broken into twice.”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33</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“That,” said Miss Russell, “was merely boys after pigeons.”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34</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“Well, the house has been broken into in broad daylight when Maggie and Emma and I were the only ones in the house. I saw a man the other night when I went home lurking about the buildings, and as I came he jumped and ran away. Father had trouble with a man the other day about a store. There were angry words, and he turned him out of the house.”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35</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 The suggestion to Bridget that she should go to town and purchase the dress-goods mentioned.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36</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2. </w:t>
      </w:r>
      <w:r w:rsidRPr="00352C6C">
        <w:rPr>
          <w:rFonts w:ascii="Garamond" w:hAnsi="Garamond"/>
          <w:iCs/>
          <w:sz w:val="32"/>
          <w:szCs w:val="24"/>
        </w:rPr>
        <w:t>(a) Opportunity.</w:t>
      </w:r>
      <w:r w:rsidRPr="00352C6C">
        <w:rPr>
          <w:rFonts w:ascii="Garamond" w:hAnsi="Garamond"/>
          <w:sz w:val="32"/>
          <w:szCs w:val="24"/>
        </w:rPr>
        <w:t xml:space="preserve"> One of the chief efforts of the prosecution was to prove an exclusive opportunity on the part of the accused. The essential result of the testimony bearing on this may be gleaned from what has already been noted. </w:t>
      </w:r>
      <w:r w:rsidRPr="00352C6C">
        <w:rPr>
          <w:rFonts w:ascii="Garamond" w:hAnsi="Garamond"/>
          <w:iCs/>
          <w:sz w:val="32"/>
          <w:szCs w:val="24"/>
        </w:rPr>
        <w:t>(b) Means</w:t>
      </w:r>
      <w:r w:rsidRPr="00352C6C">
        <w:rPr>
          <w:rFonts w:ascii="Garamond" w:hAnsi="Garamond"/>
          <w:sz w:val="32"/>
          <w:szCs w:val="24"/>
        </w:rPr>
        <w:t xml:space="preserve"> and </w:t>
      </w:r>
      <w:r w:rsidRPr="00352C6C">
        <w:rPr>
          <w:rFonts w:ascii="Garamond" w:hAnsi="Garamond"/>
          <w:iCs/>
          <w:sz w:val="32"/>
          <w:szCs w:val="24"/>
        </w:rPr>
        <w:t>Capacity.</w:t>
      </w:r>
      <w:r w:rsidRPr="00352C6C">
        <w:rPr>
          <w:rFonts w:ascii="Garamond" w:hAnsi="Garamond"/>
          <w:sz w:val="32"/>
          <w:szCs w:val="24"/>
        </w:rPr>
        <w:t xml:space="preserve"> The medical testimony showed that there was nothing in the assaults which a woman of her strength might not have accomplished. The lengthy testimony in regard to the fourth hatchet was directed to showing that it was not incapable of being the weapon used. The handle was broken off; but the presence of ashes on the handle in all other places but the broken end, as well as the appearance of the break, showed that it was a fresh one, and not impossibly one made after the killing; and if thus made, it was not impossible that the hatchet was used in killing, washed, rubbed in ashes, broken off, and the fragment burnt. A strong effort was made by the defense to discredit these results, which rested chiefly on the reports of police officers, but it had little effect.</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37</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3. </w:t>
      </w:r>
      <w:r w:rsidRPr="00352C6C">
        <w:rPr>
          <w:rFonts w:ascii="Garamond" w:hAnsi="Garamond"/>
          <w:iCs/>
          <w:sz w:val="32"/>
          <w:szCs w:val="24"/>
        </w:rPr>
        <w:t>(a) Consciousness of Guilt.</w:t>
      </w:r>
      <w:r w:rsidRPr="00352C6C">
        <w:rPr>
          <w:rFonts w:ascii="Garamond" w:hAnsi="Garamond"/>
          <w:sz w:val="32"/>
          <w:szCs w:val="24"/>
        </w:rPr>
        <w:t xml:space="preserve"> This, with exclusive opportunity, were the main objects of the prosecution’s attack. Much that was here offered was excluded, and this exclusion possibly affected the result of the case. The points attempted to be shown were: (1) Falsehoods to prevent detection of the first death; (2) falsehoods as to the doings of the accused; (3) knowledge of the first death; (4) concealment of knowledge of the first death; (5) destruction of suspicious materials.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38</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(1) To Bridget and to her father the accused said, as already related, that her mother had received a note and gone out. The same statement she made to Mrs. Churchill and to Marshal Fleet. No note, however, was found; no one who brought a note or sent a note came forward or was heard of; no sound or sight of the sort was perceived by Bridget or any others. The only blot upon an almost perfectly conducted trial was the attempt of the counsel for the defense in argument to show that the information as to the note emanated originally from Bridget and that the accused merely repeated it. This was decidedly a breach of propriety, because it was not merely an argument suggesting the fair possibility of that explanation, but a distinct assertion that the testimony was of that purport, and, therefore, in effect, a false quotation of the testimony. In truth the accused’s statement about the note was her own alone and was one of the facts to be explained.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39</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(2) Here were charged three falsehoods: </w:t>
      </w:r>
      <w:r w:rsidRPr="00352C6C">
        <w:rPr>
          <w:rFonts w:ascii="Garamond" w:hAnsi="Garamond"/>
          <w:iCs/>
          <w:sz w:val="32"/>
          <w:szCs w:val="24"/>
        </w:rPr>
        <w:t>(a)</w:t>
      </w:r>
      <w:r w:rsidRPr="00352C6C">
        <w:rPr>
          <w:rFonts w:ascii="Garamond" w:hAnsi="Garamond"/>
          <w:sz w:val="32"/>
          <w:szCs w:val="24"/>
        </w:rPr>
        <w:t xml:space="preserve"> When the accused was asked where she was at the time of the killing of Mr. Borden, she said that she went out to the barn (to Dr. Bowen) “looking for some iron or irons,” (to Miss Russell) “for a piece of iron or tin to fix a screen,” (to the mayor and an officer and at the coroner’s inquest)</w:t>
      </w:r>
      <w:r w:rsidRPr="00352C6C">
        <w:rPr>
          <w:rStyle w:val="EndnoteReference"/>
          <w:rFonts w:ascii="Garamond" w:hAnsi="Garamond"/>
          <w:sz w:val="32"/>
          <w:szCs w:val="24"/>
        </w:rPr>
        <w:endnoteReference w:customMarkFollows="1" w:id="4"/>
        <w:t>8</w:t>
      </w:r>
      <w:r w:rsidRPr="00352C6C">
        <w:rPr>
          <w:rFonts w:ascii="Garamond" w:hAnsi="Garamond"/>
          <w:sz w:val="32"/>
          <w:szCs w:val="24"/>
        </w:rPr>
        <w:t xml:space="preserve"> in the barn loft, eating some pears and “looking over lead for sinkers.” The inconsistency of the explanations was offered as very suggestive. The day was shown to be a very hot one, and the loft was argued to be too hot for such a sojourn. Moreover Officer Medley testified to going into the barn, in the loft, and finding the floor covered with dust, easily taking an impression from his hand or foot, but on his arrival quite devoid of any traces of the previous presence of another. The trustworthiness of his statements was attacked by witnesses who said that they and others had been there before the officer. The priority of their visits was not placed beyond doubt; but the effect of the officer’s statement of course fell from practical proof to a merely probative circumstance.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40</w:t>
      </w:r>
    </w:p>
    <w:p w:rsidR="00BD4E67" w:rsidRPr="00352C6C" w:rsidRDefault="00BD4E67" w:rsidP="00BD4E67">
      <w:pPr>
        <w:pStyle w:val="PlainText"/>
        <w:ind w:firstLine="360"/>
        <w:rPr>
          <w:rFonts w:ascii="Garamond" w:hAnsi="Garamond"/>
          <w:sz w:val="32"/>
          <w:szCs w:val="24"/>
        </w:rPr>
      </w:pPr>
      <w:r w:rsidRPr="00352C6C">
        <w:rPr>
          <w:rFonts w:ascii="Garamond" w:hAnsi="Garamond"/>
          <w:iCs/>
          <w:sz w:val="32"/>
          <w:szCs w:val="24"/>
        </w:rPr>
        <w:t>(b)</w:t>
      </w:r>
      <w:r w:rsidRPr="00352C6C">
        <w:rPr>
          <w:rFonts w:ascii="Garamond" w:hAnsi="Garamond"/>
          <w:sz w:val="32"/>
          <w:szCs w:val="24"/>
        </w:rPr>
        <w:t xml:space="preserve"> When the accused was describing her discovery of the father’s death, she said (to Officer </w:t>
      </w:r>
      <w:proofErr w:type="spellStart"/>
      <w:r w:rsidRPr="00352C6C">
        <w:rPr>
          <w:rFonts w:ascii="Garamond" w:hAnsi="Garamond"/>
          <w:sz w:val="32"/>
          <w:szCs w:val="24"/>
        </w:rPr>
        <w:t>Mullaly</w:t>
      </w:r>
      <w:proofErr w:type="spellEnd"/>
      <w:r w:rsidRPr="00352C6C">
        <w:rPr>
          <w:rFonts w:ascii="Garamond" w:hAnsi="Garamond"/>
          <w:sz w:val="32"/>
          <w:szCs w:val="24"/>
        </w:rPr>
        <w:t>) that she heard “a peculiar noise, something like a scraping noise, and came in and found the door open;” (to the servant) that she heard a groan and rushed in and found her father; (to Mrs. Churchill) that she heard a distress noise, came in, and found her father; (at the inquest) that after eating pears in the loft and looking over lead, she came down, returned to the kitchen, looked in the stove to see if the fire was hot enough for her ironing, found that it was not, put her hat down, started to go upstairs and wait for Bridget’s noon-day fire, and thus discovered her father; (to Officer Harrington) that she was up in the loft of the barn and thus did not hear any outcry or noise of any kind; (to Marshal Hilliard) that after half an hour up in the barn, she came in and found her father. Here, again, a substantial inconsistency was charged.</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41</w:t>
      </w:r>
    </w:p>
    <w:p w:rsidR="00BD4E67" w:rsidRPr="00352C6C" w:rsidRDefault="00BD4E67" w:rsidP="00BD4E67">
      <w:pPr>
        <w:pStyle w:val="PlainText"/>
        <w:ind w:firstLine="360"/>
        <w:rPr>
          <w:rFonts w:ascii="Garamond" w:hAnsi="Garamond"/>
          <w:sz w:val="32"/>
          <w:szCs w:val="24"/>
        </w:rPr>
      </w:pPr>
      <w:r w:rsidRPr="00352C6C">
        <w:rPr>
          <w:rFonts w:ascii="Garamond" w:hAnsi="Garamond"/>
          <w:iCs/>
          <w:sz w:val="32"/>
          <w:szCs w:val="24"/>
        </w:rPr>
        <w:t>(c)</w:t>
      </w:r>
      <w:r w:rsidRPr="00352C6C">
        <w:rPr>
          <w:rFonts w:ascii="Garamond" w:hAnsi="Garamond"/>
          <w:sz w:val="32"/>
          <w:szCs w:val="24"/>
        </w:rPr>
        <w:t xml:space="preserve"> Mr. Borden had on, when found, a pair of congress boots or gaiters; but at the inquest the accused, before this was pointed out, testified that when he came home about 10:45, she assisted him to lie down on the sofa, took off his boots, and put on his slippers.</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42</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(3) Her knowledge of the first death was said to have been indicated: </w:t>
      </w:r>
      <w:r w:rsidRPr="00352C6C">
        <w:rPr>
          <w:rFonts w:ascii="Garamond" w:hAnsi="Garamond"/>
          <w:iCs/>
          <w:sz w:val="32"/>
          <w:szCs w:val="24"/>
        </w:rPr>
        <w:t>(a)</w:t>
      </w:r>
      <w:r w:rsidRPr="00352C6C">
        <w:rPr>
          <w:rFonts w:ascii="Garamond" w:hAnsi="Garamond"/>
          <w:sz w:val="32"/>
          <w:szCs w:val="24"/>
        </w:rPr>
        <w:t xml:space="preserve"> By the inevitable discovery of the body in the guest-room through the open door, or of the murderer either in passing about or in going up and down the stairs; </w:t>
      </w:r>
      <w:r w:rsidRPr="00352C6C">
        <w:rPr>
          <w:rFonts w:ascii="Garamond" w:hAnsi="Garamond"/>
          <w:iCs/>
          <w:sz w:val="32"/>
          <w:szCs w:val="24"/>
        </w:rPr>
        <w:t>(b)</w:t>
      </w:r>
      <w:r w:rsidRPr="00352C6C">
        <w:rPr>
          <w:rFonts w:ascii="Garamond" w:hAnsi="Garamond"/>
          <w:sz w:val="32"/>
          <w:szCs w:val="24"/>
        </w:rPr>
        <w:t xml:space="preserve"> by the noise of the scuffle, if another had done it, and by the thud of the heavy woman’s fall; </w:t>
      </w:r>
      <w:r w:rsidRPr="00352C6C">
        <w:rPr>
          <w:rFonts w:ascii="Garamond" w:hAnsi="Garamond"/>
          <w:iCs/>
          <w:sz w:val="32"/>
          <w:szCs w:val="24"/>
        </w:rPr>
        <w:t>(c)</w:t>
      </w:r>
      <w:r w:rsidRPr="00352C6C">
        <w:rPr>
          <w:rFonts w:ascii="Garamond" w:hAnsi="Garamond"/>
          <w:sz w:val="32"/>
          <w:szCs w:val="24"/>
        </w:rPr>
        <w:t xml:space="preserve"> by the readiness with which the accused suggested that Mrs. Borden must have returned;</w:t>
      </w:r>
      <w:r w:rsidRPr="00352C6C">
        <w:rPr>
          <w:rStyle w:val="EndnoteReference"/>
          <w:rFonts w:ascii="Garamond" w:hAnsi="Garamond"/>
          <w:sz w:val="32"/>
          <w:szCs w:val="24"/>
        </w:rPr>
        <w:endnoteReference w:customMarkFollows="1" w:id="5"/>
        <w:t>9</w:t>
      </w:r>
      <w:r w:rsidRPr="00352C6C">
        <w:rPr>
          <w:rFonts w:ascii="Garamond" w:hAnsi="Garamond"/>
          <w:sz w:val="32"/>
          <w:szCs w:val="24"/>
        </w:rPr>
        <w:t xml:space="preserve"> (1) for as her father had been in the room off the hall from 10:45 to, say, 11, and as she had been out in the barn from 11 till the killing was discovered and others came in, there was no time when the mother could have returned since the father’s return, and up to that time the accused herself predicated her absence.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43</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 If this knowledge existed, then beyond doubt the concealment of it and the pretense of ignorance involved in sending Bridget to get the step-mother was strongly indicative of guilt.</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44</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(5) Some attempt was made to show a degree of secrecy and obstruction to official investigation of the rooms; but with little or no result. On Sunday morning, however (the officers having informed her on Saturday that she was suspected of the crime), when Emma Borden and Lizzie Borden were in the kitchen and officers were in the yard, Alice Russell came in:—</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45</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“I saw Miss Lizzie at the other end of the stove, I saw Miss Emma at the sink. Miss Lizzie was at the stove and she had a skirt in her hand, and her sister turned and said: ‘What are you going to do?’ and Lizzie said, ‘I am going to burn this old thing up; it is covered with paint.’ I left the room then, and on coming back, Miss Lizzie stood up toward the cupboard door, and she appeared to be either ripping something down or tearing part of this garment. I said to her: ‘I wouldn’t let anybody see me do that, Lizzie.’ She didn’t make any answer, but just stepped one step farther back, up toward the cupboard door. . . . Afterwards, I said to them, ‘I am afraid, Lizzie, the worst thing you could have done was to burn that dress. I have been asked about your dress.’ She said: ‘Oh, what made you let me do it? Why didn’t you tell me?’”</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46</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prosecution naturally attempted, first, to identify this dress as the one worn on the morning of the killing; in this they failed; second, to show at least that the dress worn on that day was missing, and was not the one handed over by the accused, as the dress of that morning. On this point they made out a very strong case. The dress handed over by the accused to the officers as the one worn on Thursday morning, while ironing, and afterwards, was a silk dress, of a dark blue effect; the testimony, however, pointed strongly to the wearing of a cotton dress, light blue with a dark figure. Such a dress existed, and had been worn on the day before, but not on Friday or Saturday.</w:t>
      </w:r>
    </w:p>
    <w:p w:rsidR="00BD4E67" w:rsidRPr="00352C6C" w:rsidRDefault="003B61C3" w:rsidP="00BD4E67">
      <w:pPr>
        <w:pStyle w:val="PlainText"/>
        <w:ind w:firstLine="360"/>
        <w:rPr>
          <w:rFonts w:ascii="Garamond" w:hAnsi="Garamond"/>
          <w:sz w:val="32"/>
          <w:szCs w:val="24"/>
        </w:rPr>
      </w:pPr>
      <w:r w:rsidRPr="00352C6C">
        <w:rPr>
          <w:rFonts w:ascii="Garamond" w:hAnsi="Garamond"/>
          <w:sz w:val="32"/>
          <w:szCs w:val="24"/>
        </w:rPr>
        <w:t>47</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 xml:space="preserve">Thus far the prosecution. The defense began with character evidence based on the accused’s cooperation in Sunday-school and charitable work and her good standing as a church member. The motive-evidence was not shaken; though the sister of the accused represented the ill-feeling to be of minimum intensity. The design-evidence of prussic acid did not come to the jury. In regard to exclusive opportunity, the defense made no break in the chain of the prosecution, except in showing that the screen door was not closed at all moments during the morning. The evidence as to the possibility of an unseen escape from the house was not potent on either side. But no traces of another person were shown within the house; and no suspicious person was located in the vicinity of the house—if we except some vague reports of a tramp, of a pale, excited young man, and the like, being seen on the street, </w:t>
      </w:r>
      <w:proofErr w:type="spellStart"/>
      <w:r w:rsidRPr="00352C6C">
        <w:rPr>
          <w:rFonts w:ascii="Garamond" w:hAnsi="Garamond"/>
          <w:sz w:val="32"/>
          <w:szCs w:val="24"/>
        </w:rPr>
        <w:t>near by</w:t>
      </w:r>
      <w:proofErr w:type="spellEnd"/>
      <w:r w:rsidRPr="00352C6C">
        <w:rPr>
          <w:rFonts w:ascii="Garamond" w:hAnsi="Garamond"/>
          <w:sz w:val="32"/>
          <w:szCs w:val="24"/>
        </w:rPr>
        <w:t xml:space="preserve">, within a day or an hour of the killing. The attempt failed to show the impossibility of the </w:t>
      </w:r>
      <w:proofErr w:type="spellStart"/>
      <w:r w:rsidRPr="00352C6C">
        <w:rPr>
          <w:rFonts w:ascii="Garamond" w:hAnsi="Garamond"/>
          <w:sz w:val="32"/>
          <w:szCs w:val="24"/>
        </w:rPr>
        <w:t>handleless</w:t>
      </w:r>
      <w:proofErr w:type="spellEnd"/>
      <w:r w:rsidRPr="00352C6C">
        <w:rPr>
          <w:rFonts w:ascii="Garamond" w:hAnsi="Garamond"/>
          <w:sz w:val="32"/>
          <w:szCs w:val="24"/>
        </w:rPr>
        <w:t xml:space="preserve"> hatchet having been used—unless we assume (what the defense desired to suggest) that the testimony of all the officers was </w:t>
      </w:r>
      <w:proofErr w:type="spellStart"/>
      <w:r w:rsidRPr="00352C6C">
        <w:rPr>
          <w:rFonts w:ascii="Garamond" w:hAnsi="Garamond"/>
          <w:sz w:val="32"/>
          <w:szCs w:val="24"/>
        </w:rPr>
        <w:t>wilfully</w:t>
      </w:r>
      <w:proofErr w:type="spellEnd"/>
      <w:r w:rsidRPr="00352C6C">
        <w:rPr>
          <w:rFonts w:ascii="Garamond" w:hAnsi="Garamond"/>
          <w:sz w:val="32"/>
          <w:szCs w:val="24"/>
        </w:rPr>
        <w:t xml:space="preserve"> false. Coming to the evidence of consciousness of guilt,—the defense could not shake the story of the note; they merely suggested that it might have been a part of the scheme of the murderer to divert suspicion. They searched for the note and they advertised for the sender or carrier, but nothing appeared. The inconsistent stories about going to the barn were explained by the excitement of the moment; the inquest-story—with the most marked divergence—was excluded. Lead was found in the loft; but no fish-line was shown</w:t>
      </w:r>
      <w:r w:rsidRPr="00352C6C">
        <w:rPr>
          <w:rFonts w:ascii="Garamond" w:hAnsi="Garamond"/>
          <w:sz w:val="32"/>
          <w:szCs w:val="24"/>
          <w:vertAlign w:val="superscript"/>
        </w:rPr>
        <w:t>1</w:t>
      </w:r>
      <w:r w:rsidRPr="00352C6C">
        <w:rPr>
          <w:rStyle w:val="EndnoteReference"/>
          <w:rFonts w:ascii="Garamond" w:hAnsi="Garamond"/>
          <w:sz w:val="32"/>
          <w:szCs w:val="24"/>
        </w:rPr>
        <w:endnoteReference w:customMarkFollows="1" w:id="6"/>
        <w:t>0</w:t>
      </w:r>
      <w:r w:rsidRPr="00352C6C">
        <w:rPr>
          <w:rFonts w:ascii="Garamond" w:hAnsi="Garamond"/>
          <w:sz w:val="32"/>
          <w:szCs w:val="24"/>
        </w:rPr>
        <w:t xml:space="preserve"> and no screen was identified. It was suggested that perhaps both explanations were true, that both purposes co-existed. The inconsistent stories as to her return and discovery of the murder were in part slid over, in part ignored, and in part discredited.</w:t>
      </w:r>
      <w:r w:rsidRPr="00352C6C">
        <w:rPr>
          <w:rFonts w:ascii="Garamond" w:hAnsi="Garamond"/>
          <w:sz w:val="32"/>
          <w:szCs w:val="24"/>
          <w:vertAlign w:val="superscript"/>
        </w:rPr>
        <w:t>1</w:t>
      </w:r>
      <w:r w:rsidRPr="00352C6C">
        <w:rPr>
          <w:rStyle w:val="EndnoteReference"/>
          <w:rFonts w:ascii="Garamond" w:hAnsi="Garamond"/>
          <w:sz w:val="32"/>
          <w:szCs w:val="24"/>
        </w:rPr>
        <w:endnoteReference w:customMarkFollows="1" w:id="7"/>
        <w:t>1</w:t>
      </w:r>
    </w:p>
    <w:p w:rsidR="00BD4E67" w:rsidRPr="00352C6C" w:rsidRDefault="003B61C3" w:rsidP="00BD4E67">
      <w:pPr>
        <w:pStyle w:val="PlainText"/>
        <w:ind w:firstLine="360"/>
        <w:rPr>
          <w:rFonts w:ascii="Garamond" w:hAnsi="Garamond"/>
          <w:sz w:val="32"/>
          <w:szCs w:val="24"/>
        </w:rPr>
      </w:pPr>
      <w:r w:rsidRPr="00352C6C">
        <w:rPr>
          <w:rFonts w:ascii="Garamond" w:hAnsi="Garamond"/>
          <w:sz w:val="32"/>
          <w:szCs w:val="24"/>
        </w:rPr>
        <w:t>48</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discrepancy between the statement about the slippers and the actual foot-coverings did not get to the jury. As to the circumstances indicating knowledge, their force was a matter of argument and probability merely; the defense urged the contrary hypotheses which suggest themselves to all. The dress burning was explained by the sister to have taken place in consequence of a suggestion of hers; but Miss Russell’s testimony contradicted this. The defense offered to show a custom in the family of burning all old dresses, but this was rejected. Another offer, also rejected, was to show the conduct of a demented-looking man, seen in the woods near the town, a few days after the murder, carrying an axe, and exclaiming “Poor Mrs. Borden!”</w:t>
      </w:r>
    </w:p>
    <w:p w:rsidR="00BD4E67" w:rsidRPr="00352C6C" w:rsidRDefault="003B61C3" w:rsidP="00BD4E67">
      <w:pPr>
        <w:pStyle w:val="PlainText"/>
        <w:ind w:firstLine="360"/>
        <w:rPr>
          <w:rFonts w:ascii="Garamond" w:hAnsi="Garamond"/>
          <w:sz w:val="32"/>
          <w:szCs w:val="24"/>
        </w:rPr>
      </w:pPr>
      <w:r w:rsidRPr="00352C6C">
        <w:rPr>
          <w:rFonts w:ascii="Garamond" w:hAnsi="Garamond"/>
          <w:sz w:val="32"/>
          <w:szCs w:val="24"/>
        </w:rPr>
        <w:t>49</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The stronghold of the defense was the utter absence of all such traces or marks as would presumably be found upon the murderer. No blood was seen upon her by the five or six persons who came in within ten minutes and before she donned the pink wrapper. No garment was found with blood or other traces upon it.</w:t>
      </w:r>
      <w:r w:rsidRPr="00352C6C">
        <w:rPr>
          <w:rFonts w:ascii="Garamond" w:hAnsi="Garamond"/>
          <w:sz w:val="32"/>
          <w:szCs w:val="24"/>
          <w:vertAlign w:val="superscript"/>
        </w:rPr>
        <w:t>1</w:t>
      </w:r>
      <w:r w:rsidRPr="00352C6C">
        <w:rPr>
          <w:rStyle w:val="EndnoteReference"/>
          <w:rFonts w:ascii="Garamond" w:hAnsi="Garamond"/>
          <w:sz w:val="32"/>
          <w:szCs w:val="24"/>
        </w:rPr>
        <w:endnoteReference w:customMarkFollows="1" w:id="8"/>
        <w:t>2</w:t>
      </w:r>
      <w:r w:rsidRPr="00352C6C">
        <w:rPr>
          <w:rFonts w:ascii="Garamond" w:hAnsi="Garamond"/>
          <w:sz w:val="32"/>
          <w:szCs w:val="24"/>
        </w:rPr>
        <w:t xml:space="preserve"> No weapon bearing blood or other traces was found within or without the house. One or two of the experts were willing to say that it was practically impossible to deal the twenty-nine blows without receiving more or less blood on the garments and perhaps in the hair (though it does not appear that her head was examined for blood). It is safe to say that this was the decisive fact of the case.</w:t>
      </w:r>
    </w:p>
    <w:p w:rsidR="00BD4E67" w:rsidRPr="00352C6C" w:rsidRDefault="003B61C3" w:rsidP="00BD4E67">
      <w:pPr>
        <w:pStyle w:val="PlainText"/>
        <w:ind w:firstLine="360"/>
        <w:rPr>
          <w:rFonts w:ascii="Garamond" w:hAnsi="Garamond"/>
          <w:sz w:val="32"/>
          <w:szCs w:val="24"/>
        </w:rPr>
      </w:pPr>
      <w:r w:rsidRPr="00352C6C">
        <w:rPr>
          <w:rFonts w:ascii="Garamond" w:hAnsi="Garamond"/>
          <w:sz w:val="32"/>
          <w:szCs w:val="24"/>
        </w:rPr>
        <w:t>50</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It is, of course, impossible to rehearse here all the minor details of evidence and argument offered on either side. It has been necessary to make a summary estimate of the force of certain evidence mentioned.</w:t>
      </w:r>
    </w:p>
    <w:p w:rsidR="00BD4E67" w:rsidRPr="00352C6C" w:rsidRDefault="003B61C3" w:rsidP="00BD4E67">
      <w:pPr>
        <w:pStyle w:val="PlainText"/>
        <w:ind w:firstLine="360"/>
        <w:rPr>
          <w:rFonts w:ascii="Garamond" w:hAnsi="Garamond"/>
          <w:sz w:val="32"/>
          <w:szCs w:val="24"/>
        </w:rPr>
      </w:pPr>
      <w:r w:rsidRPr="00352C6C">
        <w:rPr>
          <w:rFonts w:ascii="Garamond" w:hAnsi="Garamond"/>
          <w:sz w:val="32"/>
          <w:szCs w:val="24"/>
        </w:rPr>
        <w:t>51</w:t>
      </w:r>
    </w:p>
    <w:p w:rsidR="00BD4E67" w:rsidRPr="00352C6C" w:rsidRDefault="00BD4E67" w:rsidP="00BD4E67">
      <w:pPr>
        <w:pStyle w:val="PlainText"/>
        <w:ind w:firstLine="360"/>
        <w:rPr>
          <w:rFonts w:ascii="Garamond" w:hAnsi="Garamond"/>
          <w:sz w:val="32"/>
          <w:szCs w:val="24"/>
        </w:rPr>
      </w:pPr>
      <w:r w:rsidRPr="00352C6C">
        <w:rPr>
          <w:rFonts w:ascii="Garamond" w:hAnsi="Garamond"/>
          <w:sz w:val="32"/>
          <w:szCs w:val="24"/>
        </w:rPr>
        <w:t>On Tuesday, June 20, at 4:32 in the afternoon, after less than an hour and a half of deliberation, the jury returned a verdict of “not guilty.”</w:t>
      </w:r>
      <w:r w:rsidRPr="00352C6C">
        <w:rPr>
          <w:rFonts w:ascii="Garamond" w:hAnsi="Garamond"/>
          <w:sz w:val="32"/>
          <w:szCs w:val="24"/>
          <w:vertAlign w:val="superscript"/>
        </w:rPr>
        <w:t>1</w:t>
      </w:r>
      <w:r w:rsidRPr="00352C6C">
        <w:rPr>
          <w:rStyle w:val="EndnoteReference"/>
          <w:rFonts w:ascii="Garamond" w:hAnsi="Garamond"/>
          <w:sz w:val="32"/>
          <w:szCs w:val="24"/>
        </w:rPr>
        <w:endnoteReference w:customMarkFollows="1" w:id="9"/>
        <w:t>3</w:t>
      </w:r>
    </w:p>
    <w:p w:rsidR="003B61C3" w:rsidRPr="00352C6C" w:rsidRDefault="003B61C3" w:rsidP="00BD4E67">
      <w:pPr>
        <w:pStyle w:val="PlainText"/>
        <w:ind w:firstLine="360"/>
        <w:rPr>
          <w:rFonts w:ascii="Garamond" w:hAnsi="Garamond"/>
          <w:sz w:val="32"/>
          <w:szCs w:val="24"/>
        </w:rPr>
      </w:pPr>
    </w:p>
    <w:p w:rsidR="003B61C3" w:rsidRPr="00352C6C" w:rsidRDefault="003B61C3" w:rsidP="003B61C3">
      <w:pPr>
        <w:pStyle w:val="PlainText"/>
        <w:rPr>
          <w:rFonts w:ascii="Garamond" w:hAnsi="Garamond"/>
          <w:sz w:val="40"/>
          <w:szCs w:val="24"/>
        </w:rPr>
      </w:pPr>
      <w:r w:rsidRPr="00352C6C">
        <w:rPr>
          <w:rFonts w:ascii="Garamond" w:hAnsi="Garamond"/>
          <w:sz w:val="40"/>
          <w:szCs w:val="24"/>
        </w:rPr>
        <w:t>References</w:t>
      </w:r>
    </w:p>
    <w:sectPr w:rsidR="003B61C3" w:rsidRPr="00352C6C" w:rsidSect="00352C6C">
      <w:headerReference w:type="default" r:id="rId6"/>
      <w:pgSz w:w="12240" w:h="15840"/>
      <w:pgMar w:top="720" w:right="2160" w:bottom="72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25" w:rsidRDefault="00CE0625" w:rsidP="00BD4E67">
      <w:pPr>
        <w:spacing w:after="0" w:line="240" w:lineRule="auto"/>
      </w:pPr>
      <w:r>
        <w:separator/>
      </w:r>
    </w:p>
  </w:endnote>
  <w:endnote w:type="continuationSeparator" w:id="0">
    <w:p w:rsidR="00CE0625" w:rsidRDefault="00CE0625" w:rsidP="00BD4E67">
      <w:pPr>
        <w:spacing w:after="0" w:line="240" w:lineRule="auto"/>
      </w:pPr>
      <w:r>
        <w:continuationSeparator/>
      </w:r>
    </w:p>
  </w:endnote>
  <w:endnote w:id="1">
    <w:p w:rsidR="00BD4E67" w:rsidRPr="00352C6C" w:rsidRDefault="00BD4E67" w:rsidP="00BD4E67">
      <w:pPr>
        <w:pStyle w:val="ZFNOTENTRY"/>
        <w:spacing w:line="240" w:lineRule="auto"/>
        <w:ind w:right="0" w:firstLine="0"/>
        <w:jc w:val="left"/>
        <w:rPr>
          <w:sz w:val="24"/>
        </w:rPr>
      </w:pPr>
      <w:r w:rsidRPr="00352C6C">
        <w:rPr>
          <w:rStyle w:val="EndnoteReference"/>
          <w:sz w:val="24"/>
        </w:rPr>
        <w:t>1</w:t>
      </w:r>
      <w:r w:rsidRPr="00352C6C">
        <w:rPr>
          <w:sz w:val="24"/>
        </w:rPr>
        <w:t>. See pp. 37–38—Eds.</w:t>
      </w:r>
    </w:p>
  </w:endnote>
  <w:endnote w:id="2">
    <w:p w:rsidR="00BD4E67" w:rsidRPr="00352C6C" w:rsidRDefault="00BD4E67" w:rsidP="00BD4E67">
      <w:pPr>
        <w:pStyle w:val="ZFNOTENTRY"/>
        <w:spacing w:line="240" w:lineRule="auto"/>
        <w:ind w:right="0" w:firstLine="0"/>
        <w:jc w:val="left"/>
        <w:rPr>
          <w:sz w:val="24"/>
        </w:rPr>
      </w:pPr>
      <w:r w:rsidRPr="00352C6C">
        <w:rPr>
          <w:rStyle w:val="EndnoteReference"/>
          <w:sz w:val="24"/>
        </w:rPr>
        <w:t>2</w:t>
      </w:r>
      <w:r w:rsidRPr="00352C6C">
        <w:rPr>
          <w:sz w:val="24"/>
        </w:rPr>
        <w:t>. See plan, p. 38.</w:t>
      </w:r>
    </w:p>
  </w:endnote>
  <w:endnote w:id="3">
    <w:p w:rsidR="00BD4E67" w:rsidRPr="00352C6C" w:rsidRDefault="00BD4E67" w:rsidP="00BD4E67">
      <w:pPr>
        <w:pStyle w:val="ZFNOTENTRY"/>
        <w:spacing w:line="240" w:lineRule="auto"/>
        <w:ind w:right="0" w:firstLine="0"/>
        <w:jc w:val="left"/>
        <w:rPr>
          <w:sz w:val="24"/>
        </w:rPr>
      </w:pPr>
      <w:r w:rsidRPr="00352C6C">
        <w:rPr>
          <w:rStyle w:val="EndnoteReference"/>
          <w:sz w:val="24"/>
        </w:rPr>
        <w:t>3</w:t>
      </w:r>
      <w:r w:rsidRPr="00352C6C">
        <w:rPr>
          <w:sz w:val="24"/>
        </w:rPr>
        <w:t>. Afterwards Justice of the Massachusetts Supreme Court.</w:t>
      </w:r>
    </w:p>
  </w:endnote>
  <w:endnote w:id="4">
    <w:p w:rsidR="00BD4E67" w:rsidRPr="00352C6C" w:rsidRDefault="00BD4E67" w:rsidP="00BD4E67">
      <w:pPr>
        <w:pStyle w:val="ZFNOTENTRY"/>
        <w:spacing w:line="240" w:lineRule="auto"/>
        <w:ind w:right="0" w:firstLine="0"/>
        <w:jc w:val="left"/>
        <w:rPr>
          <w:sz w:val="24"/>
        </w:rPr>
      </w:pPr>
      <w:r w:rsidRPr="00352C6C">
        <w:rPr>
          <w:rStyle w:val="EndnoteReference"/>
          <w:sz w:val="24"/>
        </w:rPr>
        <w:t>8</w:t>
      </w:r>
      <w:r w:rsidRPr="00352C6C">
        <w:rPr>
          <w:sz w:val="24"/>
        </w:rPr>
        <w:t>. Her inquest testimony was excluded, for reasons to be considered later.</w:t>
      </w:r>
    </w:p>
  </w:endnote>
  <w:endnote w:id="5">
    <w:p w:rsidR="00BD4E67" w:rsidRPr="00352C6C" w:rsidRDefault="00BD4E67" w:rsidP="00BD4E67">
      <w:pPr>
        <w:pStyle w:val="ZFNOTENTRY"/>
        <w:spacing w:line="240" w:lineRule="auto"/>
        <w:ind w:right="0" w:firstLine="0"/>
        <w:jc w:val="left"/>
        <w:rPr>
          <w:sz w:val="24"/>
        </w:rPr>
      </w:pPr>
      <w:r w:rsidRPr="00352C6C">
        <w:rPr>
          <w:rStyle w:val="EndnoteReference"/>
          <w:sz w:val="24"/>
        </w:rPr>
        <w:t>9</w:t>
      </w:r>
      <w:r w:rsidRPr="00352C6C">
        <w:rPr>
          <w:sz w:val="24"/>
        </w:rPr>
        <w:t>. This, however, was not argued at the trial. Moreover, no attempt was made to show that Mrs. Borden had no latch-key to the knowledge of the accused.</w:t>
      </w:r>
    </w:p>
  </w:endnote>
  <w:endnote w:id="6">
    <w:p w:rsidR="00BD4E67" w:rsidRPr="00352C6C" w:rsidRDefault="00BD4E67" w:rsidP="00BD4E67">
      <w:pPr>
        <w:pStyle w:val="ZFNOTENTRY"/>
        <w:spacing w:line="240" w:lineRule="auto"/>
        <w:ind w:right="0" w:firstLine="0"/>
        <w:jc w:val="left"/>
        <w:rPr>
          <w:sz w:val="24"/>
        </w:rPr>
      </w:pPr>
      <w:r w:rsidRPr="00352C6C">
        <w:rPr>
          <w:rStyle w:val="EndnoteReference"/>
          <w:sz w:val="24"/>
        </w:rPr>
        <w:t>1</w:t>
      </w:r>
      <w:r w:rsidR="00352C6C">
        <w:rPr>
          <w:rStyle w:val="EndnoteReference"/>
          <w:sz w:val="24"/>
        </w:rPr>
        <w:t>0</w:t>
      </w:r>
      <w:r w:rsidRPr="00352C6C">
        <w:rPr>
          <w:sz w:val="24"/>
        </w:rPr>
        <w:t>. The lead-for-sinkers statement had not been admitted, but the counsel for the defense took it up in his argument.</w:t>
      </w:r>
    </w:p>
  </w:endnote>
  <w:endnote w:id="7">
    <w:p w:rsidR="00BD4E67" w:rsidRPr="00352C6C" w:rsidRDefault="00BD4E67" w:rsidP="00BD4E67">
      <w:pPr>
        <w:pStyle w:val="ZFNOTENTRY"/>
        <w:spacing w:line="240" w:lineRule="auto"/>
        <w:ind w:right="0" w:firstLine="0"/>
        <w:jc w:val="left"/>
        <w:rPr>
          <w:sz w:val="24"/>
        </w:rPr>
      </w:pPr>
      <w:r w:rsidRPr="00352C6C">
        <w:rPr>
          <w:rStyle w:val="EndnoteReference"/>
          <w:sz w:val="24"/>
        </w:rPr>
        <w:t>1</w:t>
      </w:r>
      <w:r w:rsidR="00352C6C">
        <w:rPr>
          <w:rStyle w:val="EndnoteReference"/>
          <w:sz w:val="24"/>
        </w:rPr>
        <w:t>1</w:t>
      </w:r>
      <w:r w:rsidRPr="00352C6C">
        <w:rPr>
          <w:sz w:val="24"/>
        </w:rPr>
        <w:t>. The inquest-story, going into particulars, had never been admitted; but there were still at least two distinct statements.</w:t>
      </w:r>
    </w:p>
  </w:endnote>
  <w:endnote w:id="8">
    <w:p w:rsidR="00BD4E67" w:rsidRPr="00352C6C" w:rsidRDefault="00BD4E67" w:rsidP="00BD4E67">
      <w:pPr>
        <w:pStyle w:val="ZFNOTENTRY"/>
        <w:spacing w:line="240" w:lineRule="auto"/>
        <w:ind w:right="0" w:firstLine="0"/>
        <w:jc w:val="left"/>
        <w:rPr>
          <w:sz w:val="24"/>
        </w:rPr>
      </w:pPr>
      <w:r w:rsidRPr="00352C6C">
        <w:rPr>
          <w:rStyle w:val="EndnoteReference"/>
          <w:sz w:val="24"/>
        </w:rPr>
        <w:t>1</w:t>
      </w:r>
      <w:r w:rsidR="00352C6C">
        <w:rPr>
          <w:rStyle w:val="EndnoteReference"/>
          <w:sz w:val="24"/>
        </w:rPr>
        <w:t>2</w:t>
      </w:r>
      <w:r w:rsidRPr="00352C6C">
        <w:rPr>
          <w:sz w:val="24"/>
        </w:rPr>
        <w:t>. Except a white skirt having at the back and below a spot of blood as large as a pinhead, the spot being otherwise explainable.</w:t>
      </w:r>
    </w:p>
  </w:endnote>
  <w:endnote w:id="9">
    <w:p w:rsidR="00BD4E67" w:rsidRPr="00352C6C" w:rsidRDefault="00BD4E67" w:rsidP="00BD4E67">
      <w:pPr>
        <w:pStyle w:val="ZFNOTENTRY"/>
        <w:spacing w:line="240" w:lineRule="auto"/>
        <w:ind w:right="0" w:firstLine="0"/>
        <w:jc w:val="left"/>
        <w:rPr>
          <w:sz w:val="24"/>
        </w:rPr>
      </w:pPr>
      <w:r w:rsidRPr="00352C6C">
        <w:rPr>
          <w:rStyle w:val="EndnoteReference"/>
          <w:sz w:val="24"/>
        </w:rPr>
        <w:t>1</w:t>
      </w:r>
      <w:r w:rsidR="00352C6C">
        <w:rPr>
          <w:rStyle w:val="EndnoteReference"/>
          <w:sz w:val="24"/>
        </w:rPr>
        <w:t>3</w:t>
      </w:r>
      <w:r w:rsidRPr="00352C6C">
        <w:rPr>
          <w:sz w:val="24"/>
        </w:rPr>
        <w:t>. It was reported that they were of one mind on the first ballot, and remained an hour in general conversation, at the suggestion of one member, merely to avoid letting the counsel for the Commonwealth suppose that his argument did not receive consideration.</w:t>
      </w:r>
      <w:r w:rsidR="00377A7F" w:rsidRPr="00352C6C">
        <w:rPr>
          <w:noProof/>
          <w:sz w:val="24"/>
        </w:rPr>
        <w:drawing>
          <wp:inline distT="0" distB="0" distL="0" distR="0">
            <wp:extent cx="4737100" cy="914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n-lizzie-house-first.jpg"/>
                    <pic:cNvPicPr/>
                  </pic:nvPicPr>
                  <pic:blipFill>
                    <a:blip r:embed="rId1">
                      <a:extLst>
                        <a:ext uri="{28A0092B-C50C-407E-A947-70E740481C1C}">
                          <a14:useLocalDpi xmlns:a14="http://schemas.microsoft.com/office/drawing/2010/main" val="0"/>
                        </a:ext>
                      </a:extLst>
                    </a:blip>
                    <a:stretch>
                      <a:fillRect/>
                    </a:stretch>
                  </pic:blipFill>
                  <pic:spPr>
                    <a:xfrm>
                      <a:off x="0" y="0"/>
                      <a:ext cx="4737100" cy="9144000"/>
                    </a:xfrm>
                    <a:prstGeom prst="rect">
                      <a:avLst/>
                    </a:prstGeom>
                  </pic:spPr>
                </pic:pic>
              </a:graphicData>
            </a:graphic>
          </wp:inline>
        </w:drawing>
      </w:r>
    </w:p>
    <w:p w:rsidR="00377A7F" w:rsidRPr="00352C6C" w:rsidRDefault="00377A7F" w:rsidP="00BD4E67">
      <w:pPr>
        <w:pStyle w:val="ZFNOTENTRY"/>
        <w:spacing w:line="240" w:lineRule="auto"/>
        <w:ind w:right="0" w:firstLine="0"/>
        <w:jc w:val="left"/>
        <w:rPr>
          <w:sz w:val="24"/>
        </w:rPr>
      </w:pPr>
      <w:bookmarkStart w:id="0" w:name="_GoBack"/>
      <w:r w:rsidRPr="00352C6C">
        <w:rPr>
          <w:noProof/>
          <w:sz w:val="24"/>
        </w:rPr>
        <w:drawing>
          <wp:inline distT="0" distB="0" distL="0" distR="0">
            <wp:extent cx="5394960" cy="8808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den-lizzie-house-plan.jpg"/>
                    <pic:cNvPicPr/>
                  </pic:nvPicPr>
                  <pic:blipFill>
                    <a:blip r:embed="rId2">
                      <a:extLst>
                        <a:ext uri="{28A0092B-C50C-407E-A947-70E740481C1C}">
                          <a14:useLocalDpi xmlns:a14="http://schemas.microsoft.com/office/drawing/2010/main" val="0"/>
                        </a:ext>
                      </a:extLst>
                    </a:blip>
                    <a:stretch>
                      <a:fillRect/>
                    </a:stretch>
                  </pic:blipFill>
                  <pic:spPr>
                    <a:xfrm>
                      <a:off x="0" y="0"/>
                      <a:ext cx="5394960" cy="8808085"/>
                    </a:xfrm>
                    <a:prstGeom prst="rect">
                      <a:avLst/>
                    </a:prstGeom>
                  </pic:spPr>
                </pic:pic>
              </a:graphicData>
            </a:graphic>
          </wp:inline>
        </w:drawing>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25" w:rsidRDefault="00CE0625" w:rsidP="00BD4E67">
      <w:pPr>
        <w:spacing w:after="0" w:line="240" w:lineRule="auto"/>
      </w:pPr>
      <w:r>
        <w:separator/>
      </w:r>
    </w:p>
  </w:footnote>
  <w:footnote w:type="continuationSeparator" w:id="0">
    <w:p w:rsidR="00CE0625" w:rsidRDefault="00CE0625" w:rsidP="00BD4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704685"/>
      <w:docPartObj>
        <w:docPartGallery w:val="Page Numbers (Top of Page)"/>
        <w:docPartUnique/>
      </w:docPartObj>
    </w:sdtPr>
    <w:sdtEndPr>
      <w:rPr>
        <w:noProof/>
      </w:rPr>
    </w:sdtEndPr>
    <w:sdtContent>
      <w:p w:rsidR="00352C6C" w:rsidRDefault="00352C6C">
        <w:pPr>
          <w:pStyle w:val="Header"/>
          <w:jc w:val="right"/>
        </w:pPr>
        <w:r>
          <w:fldChar w:fldCharType="begin"/>
        </w:r>
        <w:r>
          <w:instrText xml:space="preserve"> PAGE   \* MERGEFORMAT </w:instrText>
        </w:r>
        <w:r>
          <w:fldChar w:fldCharType="separate"/>
        </w:r>
        <w:r>
          <w:rPr>
            <w:noProof/>
          </w:rPr>
          <w:t>18</w:t>
        </w:r>
        <w:r>
          <w:rPr>
            <w:noProof/>
          </w:rPr>
          <w:fldChar w:fldCharType="end"/>
        </w:r>
      </w:p>
    </w:sdtContent>
  </w:sdt>
  <w:p w:rsidR="003B61C3" w:rsidRDefault="003B6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67"/>
    <w:rsid w:val="00283B6E"/>
    <w:rsid w:val="00352C6C"/>
    <w:rsid w:val="00377A7F"/>
    <w:rsid w:val="003B19E8"/>
    <w:rsid w:val="003B61C3"/>
    <w:rsid w:val="00713036"/>
    <w:rsid w:val="007934CB"/>
    <w:rsid w:val="00A835AA"/>
    <w:rsid w:val="00AD6ECB"/>
    <w:rsid w:val="00BD4E67"/>
    <w:rsid w:val="00CE0625"/>
    <w:rsid w:val="00E21E6D"/>
    <w:rsid w:val="00EA3D60"/>
    <w:rsid w:val="00F3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D154"/>
  <w15:chartTrackingRefBased/>
  <w15:docId w15:val="{80D28526-8D99-4A44-A9E7-7E9B7AAC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NOTENTRY">
    <w:name w:val="Z_FNOT ENTRY"/>
    <w:rsid w:val="00BD4E67"/>
    <w:pPr>
      <w:widowControl w:val="0"/>
      <w:autoSpaceDE w:val="0"/>
      <w:autoSpaceDN w:val="0"/>
      <w:adjustRightInd w:val="0"/>
      <w:spacing w:after="0" w:line="200" w:lineRule="atLeast"/>
      <w:ind w:right="480" w:firstLine="230"/>
      <w:jc w:val="both"/>
    </w:pPr>
    <w:rPr>
      <w:rFonts w:ascii="Times New Roman" w:eastAsia="Times New Roman" w:hAnsi="Times New Roman" w:cs="Times New Roman"/>
      <w:sz w:val="19"/>
      <w:szCs w:val="19"/>
    </w:rPr>
  </w:style>
  <w:style w:type="character" w:styleId="EndnoteReference">
    <w:name w:val="endnote reference"/>
    <w:basedOn w:val="DefaultParagraphFont"/>
    <w:semiHidden/>
    <w:rsid w:val="00BD4E67"/>
    <w:rPr>
      <w:vertAlign w:val="superscript"/>
    </w:rPr>
  </w:style>
  <w:style w:type="paragraph" w:styleId="PlainText">
    <w:name w:val="Plain Text"/>
    <w:basedOn w:val="Normal"/>
    <w:link w:val="PlainTextChar"/>
    <w:semiHidden/>
    <w:rsid w:val="00BD4E6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D4E67"/>
    <w:rPr>
      <w:rFonts w:ascii="Courier New" w:eastAsia="Times New Roman" w:hAnsi="Courier New" w:cs="Courier New"/>
      <w:sz w:val="20"/>
      <w:szCs w:val="20"/>
    </w:rPr>
  </w:style>
  <w:style w:type="paragraph" w:styleId="Header">
    <w:name w:val="header"/>
    <w:basedOn w:val="Normal"/>
    <w:link w:val="HeaderChar"/>
    <w:uiPriority w:val="99"/>
    <w:unhideWhenUsed/>
    <w:rsid w:val="003B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1C3"/>
  </w:style>
  <w:style w:type="paragraph" w:styleId="Footer">
    <w:name w:val="footer"/>
    <w:basedOn w:val="Normal"/>
    <w:link w:val="FooterChar"/>
    <w:uiPriority w:val="99"/>
    <w:unhideWhenUsed/>
    <w:rsid w:val="003B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4632</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Rockford University</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Hicks</dc:creator>
  <cp:keywords/>
  <dc:description/>
  <cp:lastModifiedBy>Hicks, Stephen</cp:lastModifiedBy>
  <cp:revision>7</cp:revision>
  <dcterms:created xsi:type="dcterms:W3CDTF">2018-02-25T04:10:00Z</dcterms:created>
  <dcterms:modified xsi:type="dcterms:W3CDTF">2024-07-04T14:11:00Z</dcterms:modified>
</cp:coreProperties>
</file>